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W w:w="8079" w:type="dxa"/>
        <w:tblInd w:w="993" w:type="dxa"/>
        <w:tblLayout w:type="fixed"/>
        <w:tblCellMar>
          <w:left w:w="115" w:type="dxa"/>
          <w:right w:w="115" w:type="dxa"/>
        </w:tblCellMar>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Buyer’s obligations to supply information for parliamentary, ministerial, judicial or administrative purposes </w:t>
            </w:r>
            <w:r>
              <w:rPr>
                <w:rFonts w:ascii="Arial" w:eastAsia="Arial" w:hAnsi="Arial" w:cs="Arial"/>
                <w:color w:val="000000"/>
                <w:sz w:val="24"/>
                <w:szCs w:val="24"/>
              </w:rPr>
              <w:lastRenderedPageBreak/>
              <w:t>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w:t>
            </w:r>
            <w:r>
              <w:rPr>
                <w:rFonts w:ascii="Arial" w:eastAsia="Arial" w:hAnsi="Arial" w:cs="Arial"/>
                <w:color w:val="000000"/>
                <w:sz w:val="24"/>
                <w:szCs w:val="24"/>
              </w:rPr>
              <w:lastRenderedPageBreak/>
              <w:t xml:space="preserve">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w:t>
            </w:r>
            <w:r>
              <w:rPr>
                <w:rFonts w:ascii="Arial" w:eastAsia="Arial" w:hAnsi="Arial" w:cs="Arial"/>
                <w:color w:val="000000"/>
                <w:sz w:val="24"/>
                <w:szCs w:val="24"/>
              </w:rPr>
              <w:lastRenderedPageBreak/>
              <w:t xml:space="preserve">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w:t>
            </w:r>
            <w:r>
              <w:rPr>
                <w:rFonts w:ascii="Arial" w:eastAsia="Arial" w:hAnsi="Arial" w:cs="Arial"/>
                <w:color w:val="000000"/>
                <w:sz w:val="24"/>
                <w:szCs w:val="24"/>
              </w:rPr>
              <w:lastRenderedPageBreak/>
              <w:t xml:space="preserve">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 xml:space="preserve">the cost to the Supplier or the Key Subcontractor (as the context requires), </w:t>
            </w:r>
            <w:r>
              <w:rPr>
                <w:rFonts w:ascii="Arial" w:eastAsia="Arial" w:hAnsi="Arial" w:cs="Arial"/>
                <w:color w:val="000000"/>
                <w:sz w:val="24"/>
                <w:szCs w:val="24"/>
              </w:rPr>
              <w:lastRenderedPageBreak/>
              <w:t>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lastRenderedPageBreak/>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w:t>
            </w:r>
            <w:r>
              <w:rPr>
                <w:rFonts w:ascii="Arial" w:eastAsia="Arial" w:hAnsi="Arial" w:cs="Arial"/>
                <w:color w:val="000000"/>
                <w:sz w:val="24"/>
                <w:szCs w:val="24"/>
              </w:rPr>
              <w:lastRenderedPageBreak/>
              <w:t>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w:t>
            </w:r>
            <w:r>
              <w:rPr>
                <w:rFonts w:ascii="Arial" w:eastAsia="Arial" w:hAnsi="Arial" w:cs="Arial"/>
                <w:color w:val="000000"/>
                <w:sz w:val="24"/>
                <w:szCs w:val="24"/>
              </w:rPr>
              <w:lastRenderedPageBreak/>
              <w:t xml:space="preserve">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w:t>
            </w:r>
            <w:r>
              <w:rPr>
                <w:rFonts w:ascii="Arial" w:eastAsia="Arial" w:hAnsi="Arial" w:cs="Arial"/>
                <w:color w:val="000000"/>
                <w:sz w:val="24"/>
                <w:szCs w:val="24"/>
              </w:rPr>
              <w:lastRenderedPageBreak/>
              <w:t xml:space="preserve">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1668DB26"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w:t>
            </w:r>
            <w:r w:rsidRPr="00A3655A">
              <w:rPr>
                <w:rFonts w:ascii="Arial" w:eastAsia="Arial" w:hAnsi="Arial" w:cs="Arial"/>
                <w:color w:val="000000"/>
                <w:sz w:val="24"/>
                <w:szCs w:val="24"/>
              </w:rPr>
              <w:t>y 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in the same software package (Microsoft Excel or Microsoft Word), layout and format as the blank templates which have been issued by the Buyer to the Supplier on or </w:t>
            </w:r>
            <w:r>
              <w:rPr>
                <w:rFonts w:ascii="Arial" w:eastAsia="Arial" w:hAnsi="Arial" w:cs="Arial"/>
                <w:color w:val="000000"/>
                <w:sz w:val="24"/>
                <w:szCs w:val="24"/>
              </w:rPr>
              <w:lastRenderedPageBreak/>
              <w:t>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lastRenderedPageBreak/>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w:t>
            </w:r>
            <w:r>
              <w:rPr>
                <w:rFonts w:ascii="Arial" w:eastAsia="Arial" w:hAnsi="Arial" w:cs="Arial"/>
                <w:color w:val="000000"/>
                <w:sz w:val="24"/>
                <w:szCs w:val="24"/>
              </w:rPr>
              <w:lastRenderedPageBreak/>
              <w:t xml:space="preserve">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lastRenderedPageBreak/>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rPr>
                <w:rFonts w:ascii="Arial" w:eastAsia="Arial" w:hAnsi="Arial" w:cs="Arial"/>
                <w:b/>
                <w:color w:val="000000"/>
                <w:sz w:val="24"/>
                <w:szCs w:val="24"/>
              </w:rPr>
            </w:pPr>
            <w:r>
              <w:rPr>
                <w:rFonts w:ascii="Arial" w:eastAsia="Arial" w:hAnsi="Arial" w:cs="Arial"/>
                <w:b/>
                <w:color w:val="000000"/>
                <w:sz w:val="24"/>
                <w:szCs w:val="24"/>
              </w:rPr>
              <w:lastRenderedPageBreak/>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judgment, </w:t>
            </w:r>
            <w:r>
              <w:rPr>
                <w:rFonts w:ascii="Arial" w:eastAsia="Arial" w:hAnsi="Arial" w:cs="Arial"/>
                <w:color w:val="000000"/>
                <w:sz w:val="24"/>
                <w:szCs w:val="24"/>
              </w:rPr>
              <w:lastRenderedPageBreak/>
              <w:t>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safety issues or defects (including defects in the </w:t>
            </w:r>
            <w:r>
              <w:rPr>
                <w:rFonts w:ascii="Arial" w:eastAsia="Arial" w:hAnsi="Arial" w:cs="Arial"/>
                <w:color w:val="000000"/>
                <w:sz w:val="24"/>
                <w:szCs w:val="24"/>
              </w:rPr>
              <w:lastRenderedPageBreak/>
              <w:t>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subsistence expenses incurred by Supplier Staff whilst performing the Services at their usual place of work, or to and from the </w:t>
            </w:r>
            <w:r>
              <w:rPr>
                <w:rFonts w:ascii="Arial" w:eastAsia="Arial" w:hAnsi="Arial" w:cs="Arial"/>
                <w:color w:val="000000"/>
                <w:sz w:val="24"/>
                <w:szCs w:val="24"/>
              </w:rPr>
              <w:lastRenderedPageBreak/>
              <w:t>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Annex 2 of Part B of Schedule 8 (Implementation Plan and Testing) or as agreed by the Parties where Schedule 8 is not </w:t>
            </w:r>
            <w:r>
              <w:rPr>
                <w:rFonts w:ascii="Arial" w:eastAsia="Arial" w:hAnsi="Arial" w:cs="Arial"/>
                <w:color w:val="000000"/>
                <w:sz w:val="24"/>
                <w:szCs w:val="24"/>
              </w:rPr>
              <w:lastRenderedPageBreak/>
              <w:t>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comments, flow charts, </w:t>
            </w:r>
            <w:r w:rsidRPr="00386A55">
              <w:rPr>
                <w:rFonts w:ascii="Arial" w:eastAsia="Arial" w:hAnsi="Arial" w:cs="Arial"/>
                <w:color w:val="000000"/>
                <w:sz w:val="24"/>
                <w:szCs w:val="24"/>
              </w:rPr>
              <w:lastRenderedPageBreak/>
              <w:t>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sidRPr="00386A55">
              <w:rPr>
                <w:rFonts w:ascii="Arial" w:eastAsia="Arial" w:hAnsi="Arial" w:cs="Arial"/>
                <w:color w:val="000000"/>
                <w:sz w:val="24"/>
                <w:szCs w:val="24"/>
              </w:rPr>
              <w:lastRenderedPageBreak/>
              <w:t>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w:t>
            </w:r>
            <w:r>
              <w:rPr>
                <w:rFonts w:ascii="Arial" w:eastAsia="Arial" w:hAnsi="Arial" w:cs="Arial"/>
                <w:color w:val="000000"/>
                <w:sz w:val="24"/>
                <w:szCs w:val="24"/>
              </w:rPr>
              <w:lastRenderedPageBreak/>
              <w:t>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FB8E" w14:textId="77777777" w:rsidR="00A47D61" w:rsidRDefault="00FA3BA7">
      <w:pPr>
        <w:spacing w:after="0" w:line="240" w:lineRule="auto"/>
      </w:pPr>
      <w:r>
        <w:separator/>
      </w:r>
    </w:p>
  </w:endnote>
  <w:endnote w:type="continuationSeparator" w:id="0">
    <w:p w14:paraId="4E3BA115" w14:textId="77777777" w:rsidR="00A47D61" w:rsidRDefault="00FA3BA7">
      <w:pPr>
        <w:spacing w:after="0" w:line="240" w:lineRule="auto"/>
      </w:pPr>
      <w:r>
        <w:continuationSeparator/>
      </w:r>
    </w:p>
  </w:endnote>
  <w:endnote w:type="continuationNotice" w:id="1">
    <w:p w14:paraId="30C84AB5" w14:textId="77777777" w:rsidR="00CA5473" w:rsidRDefault="00CA5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41AAFE8A" w:rsidR="00A3655A" w:rsidRDefault="00A3655A">
    <w:pPr>
      <w:pStyle w:val="Footer"/>
    </w:pPr>
    <w:r>
      <w:rPr>
        <w:noProof/>
      </w:rPr>
      <mc:AlternateContent>
        <mc:Choice Requires="wps">
          <w:drawing>
            <wp:anchor distT="0" distB="0" distL="0" distR="0" simplePos="0" relativeHeight="251658244" behindDoc="0" locked="0" layoutInCell="1" allowOverlap="1" wp14:anchorId="57F3C02F" wp14:editId="7A1627D5">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F3C02F"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73AE8D7F" w:rsidR="002C4779" w:rsidRDefault="00A3655A"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58245" behindDoc="0" locked="0" layoutInCell="1" allowOverlap="1" wp14:anchorId="0A774311" wp14:editId="1FA404C5">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7431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73B7704B" w:rsidR="00C9157A" w:rsidRDefault="00A3655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5F5BDADD" wp14:editId="17216AF6">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5BDADD"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8C7D54">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4AB4" w14:textId="77777777" w:rsidR="00A47D61" w:rsidRDefault="00FA3BA7">
      <w:pPr>
        <w:spacing w:after="0" w:line="240" w:lineRule="auto"/>
      </w:pPr>
      <w:r>
        <w:separator/>
      </w:r>
    </w:p>
  </w:footnote>
  <w:footnote w:type="continuationSeparator" w:id="0">
    <w:p w14:paraId="12D5E75A" w14:textId="77777777" w:rsidR="00A47D61" w:rsidRDefault="00FA3BA7">
      <w:pPr>
        <w:spacing w:after="0" w:line="240" w:lineRule="auto"/>
      </w:pPr>
      <w:r>
        <w:continuationSeparator/>
      </w:r>
    </w:p>
  </w:footnote>
  <w:footnote w:type="continuationNotice" w:id="1">
    <w:p w14:paraId="7C2D90EA" w14:textId="77777777" w:rsidR="00CA5473" w:rsidRDefault="00CA54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0B991249" w:rsidR="00A3655A" w:rsidRDefault="00A3655A">
    <w:pPr>
      <w:pStyle w:val="Header"/>
    </w:pPr>
    <w:r>
      <w:rPr>
        <w:noProof/>
      </w:rPr>
      <mc:AlternateContent>
        <mc:Choice Requires="wps">
          <w:drawing>
            <wp:anchor distT="0" distB="0" distL="0" distR="0" simplePos="0" relativeHeight="251658241" behindDoc="0" locked="0" layoutInCell="1" allowOverlap="1" wp14:anchorId="0A5F3950" wp14:editId="2476F8B5">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5F395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22F0B41B" w:rsidR="00BB5AFE" w:rsidRPr="001945C1" w:rsidRDefault="00A3655A"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7CA41303" wp14:editId="52132D7D">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4130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Pr>
        <w:rFonts w:ascii="Arial" w:eastAsia="Arial" w:hAnsi="Arial" w:cs="Arial"/>
        <w:bCs/>
        <w:color w:val="000000"/>
        <w:sz w:val="20"/>
        <w:szCs w:val="20"/>
      </w:rPr>
      <w:t>BE2408</w:t>
    </w:r>
    <w:r w:rsidR="008C7D54">
      <w:rPr>
        <w:rFonts w:ascii="Arial" w:eastAsia="Arial" w:hAnsi="Arial" w:cs="Arial"/>
        <w:bCs/>
        <w:color w:val="000000"/>
        <w:sz w:val="20"/>
        <w:szCs w:val="20"/>
      </w:rPr>
      <w:t>5</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013B1086" w:rsidR="00C9157A" w:rsidRDefault="00A3655A">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51F5A4D1" wp14:editId="7D44148C">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F5A4D1"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7019C"/>
    <w:rsid w:val="00873149"/>
    <w:rsid w:val="008C7D54"/>
    <w:rsid w:val="00A3655A"/>
    <w:rsid w:val="00A47D61"/>
    <w:rsid w:val="00B00CB1"/>
    <w:rsid w:val="00B04CBB"/>
    <w:rsid w:val="00B300CE"/>
    <w:rsid w:val="00BB5AFE"/>
    <w:rsid w:val="00C329FE"/>
    <w:rsid w:val="00C64EFE"/>
    <w:rsid w:val="00C9157A"/>
    <w:rsid w:val="00CA327E"/>
    <w:rsid w:val="00CA5473"/>
    <w:rsid w:val="00DC1F39"/>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10</TotalTime>
  <Pages>44</Pages>
  <Words>10252</Words>
  <Characters>58443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9</cp:revision>
  <dcterms:created xsi:type="dcterms:W3CDTF">2023-07-27T01:15:00Z</dcterms:created>
  <dcterms:modified xsi:type="dcterms:W3CDTF">2024-04-03T13:47:00Z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